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A0" w:rsidRPr="00523BE2" w:rsidRDefault="00BF30CC" w:rsidP="00523BE2">
      <w:pPr>
        <w:pStyle w:val="berschrift1"/>
      </w:pPr>
      <w:bookmarkStart w:id="0" w:name="_GoBack"/>
      <w:bookmarkEnd w:id="0"/>
      <w:r w:rsidRPr="00523BE2">
        <w:t>Tabelle</w:t>
      </w:r>
      <w:r w:rsidR="007401A0" w:rsidRPr="00523BE2">
        <w:t>: Sonstige Gefahren</w:t>
      </w:r>
    </w:p>
    <w:p w:rsidR="007401A0" w:rsidRDefault="007401A0" w:rsidP="007401A0"/>
    <w:p w:rsidR="00BD0C71" w:rsidRPr="001E09D6" w:rsidRDefault="00BD0C71" w:rsidP="007401A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6"/>
        <w:gridCol w:w="457"/>
        <w:gridCol w:w="3347"/>
        <w:gridCol w:w="1370"/>
        <w:gridCol w:w="418"/>
      </w:tblGrid>
      <w:tr w:rsidR="00523BE2" w:rsidRPr="001E09D6" w:rsidTr="00BE0674">
        <w:trPr>
          <w:trHeight w:val="397"/>
        </w:trPr>
        <w:tc>
          <w:tcPr>
            <w:tcW w:w="4503" w:type="dxa"/>
            <w:gridSpan w:val="2"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:rsidR="00523BE2" w:rsidRPr="00B26FF8" w:rsidRDefault="00523BE2" w:rsidP="003D4630">
            <w:pPr>
              <w:suppressAutoHyphens/>
              <w:snapToGrid w:val="0"/>
              <w:rPr>
                <w:rFonts w:ascii="Arial" w:hAnsi="Arial"/>
                <w:b/>
                <w:lang w:eastAsia="ar-SA"/>
              </w:rPr>
            </w:pPr>
            <w:r w:rsidRPr="00B26FF8">
              <w:rPr>
                <w:rFonts w:ascii="Arial" w:hAnsi="Arial"/>
                <w:b/>
              </w:rPr>
              <w:t>Beurteilung</w:t>
            </w:r>
          </w:p>
        </w:tc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523BE2" w:rsidRPr="00B26FF8" w:rsidRDefault="00523BE2" w:rsidP="003D4630">
            <w:pPr>
              <w:suppressAutoHyphens/>
              <w:snapToGrid w:val="0"/>
              <w:rPr>
                <w:rFonts w:ascii="Arial" w:hAnsi="Arial"/>
                <w:b/>
                <w:lang w:eastAsia="ar-SA"/>
              </w:rPr>
            </w:pPr>
            <w:r w:rsidRPr="00B26FF8">
              <w:rPr>
                <w:rFonts w:ascii="Arial" w:hAnsi="Arial"/>
                <w:b/>
              </w:rPr>
              <w:t>Maßnahmen</w:t>
            </w:r>
          </w:p>
        </w:tc>
      </w:tr>
      <w:tr w:rsidR="00523BE2" w:rsidRPr="00BD0C71" w:rsidTr="00BE0674">
        <w:tc>
          <w:tcPr>
            <w:tcW w:w="4503" w:type="dxa"/>
            <w:gridSpan w:val="2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523BE2" w:rsidRPr="00BD0C71" w:rsidRDefault="00523BE2" w:rsidP="003C3F6A">
            <w:pPr>
              <w:suppressAutoHyphens/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523BE2" w:rsidRPr="00BD0C71" w:rsidRDefault="00523BE2" w:rsidP="003D4630">
            <w:pPr>
              <w:suppressAutoHyphens/>
              <w:snapToGrid w:val="0"/>
              <w:rPr>
                <w:rFonts w:ascii="Arial" w:hAnsi="Arial"/>
                <w:b/>
                <w:sz w:val="32"/>
                <w:szCs w:val="24"/>
              </w:rPr>
            </w:pPr>
          </w:p>
        </w:tc>
      </w:tr>
      <w:tr w:rsidR="00B26FF8" w:rsidRPr="001E09D6" w:rsidTr="0085256E">
        <w:trPr>
          <w:trHeight w:val="1644"/>
        </w:trPr>
        <w:tc>
          <w:tcPr>
            <w:tcW w:w="4077" w:type="dxa"/>
            <w:tcBorders>
              <w:top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26FF8" w:rsidRPr="0024616D" w:rsidRDefault="00B26FF8" w:rsidP="003C3F6A">
            <w:pPr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 xml:space="preserve">Liegen Gefahren vor durch </w:t>
            </w:r>
          </w:p>
          <w:p w:rsidR="00B26FF8" w:rsidRPr="0024616D" w:rsidRDefault="00B26FF8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b/>
              </w:rPr>
              <w:t>narkotisch wirkende Stoffe?</w:t>
            </w:r>
          </w:p>
          <w:p w:rsidR="00B26FF8" w:rsidRPr="0024616D" w:rsidRDefault="00B26FF8" w:rsidP="003C3F6A">
            <w:pPr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Beispiel: Distickstoffmonooxid (Lachgas)</w:t>
            </w:r>
          </w:p>
          <w:p w:rsidR="00B26FF8" w:rsidRPr="0024616D" w:rsidRDefault="00B26FF8" w:rsidP="003C3F6A">
            <w:pPr>
              <w:suppressAutoHyphens/>
              <w:snapToGrid w:val="0"/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</w:rPr>
              <w:t>siehe Sicherheitsdatenblatt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26FF8" w:rsidRPr="0024616D" w:rsidRDefault="00B26FF8" w:rsidP="003D4630">
            <w:pPr>
              <w:snapToGrid w:val="0"/>
              <w:jc w:val="center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ja</w:t>
            </w:r>
          </w:p>
          <w:p w:rsidR="00B26FF8" w:rsidRPr="0024616D" w:rsidRDefault="00B26FF8" w:rsidP="003D4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lang w:eastAsia="ar-SA"/>
              </w:rPr>
              <w:sym w:font="Wingdings" w:char="F0E0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26FF8" w:rsidRPr="0024616D" w:rsidRDefault="00B26FF8" w:rsidP="003D4630">
            <w:pPr>
              <w:suppressAutoHyphens/>
              <w:snapToGrid w:val="0"/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</w:rPr>
              <w:t>Tätigkeiten mit diesen Stoffen unter einem Abzug oder mit kleinen Mengen (ml) bei ausreichend guter Raumlüftung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26FF8" w:rsidRPr="00B26FF8" w:rsidRDefault="00B26FF8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sz w:val="16"/>
                <w:szCs w:val="16"/>
              </w:rPr>
              <w:t>III – 2.4.5</w:t>
            </w:r>
          </w:p>
          <w:p w:rsidR="00B26FF8" w:rsidRPr="00B26FF8" w:rsidRDefault="00B26FF8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b/>
                <w:sz w:val="16"/>
                <w:szCs w:val="16"/>
              </w:rPr>
              <w:t>und</w:t>
            </w:r>
          </w:p>
          <w:p w:rsidR="00B26FF8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>
                  <wp:extent cx="360000" cy="360000"/>
                  <wp:effectExtent l="0" t="0" r="254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Abz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6FF8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>
                  <wp:extent cx="360000" cy="360000"/>
                  <wp:effectExtent l="0" t="0" r="2540" b="254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lüft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:rsidR="00B26FF8" w:rsidRDefault="00B26FF8" w:rsidP="003D4630">
            <w:pPr>
              <w:jc w:val="center"/>
              <w:rPr>
                <w:rFonts w:ascii="Arial" w:hAnsi="Arial"/>
              </w:rPr>
            </w:pPr>
          </w:p>
          <w:p w:rsidR="00B26FF8" w:rsidRDefault="00B26FF8" w:rsidP="003D4630">
            <w:pPr>
              <w:jc w:val="center"/>
              <w:rPr>
                <w:rFonts w:ascii="Arial" w:hAnsi="Arial"/>
              </w:rPr>
            </w:pPr>
          </w:p>
          <w:p w:rsidR="00B26FF8" w:rsidRPr="00B26FF8" w:rsidRDefault="00B26FF8" w:rsidP="003D4630">
            <w:pPr>
              <w:jc w:val="center"/>
              <w:rPr>
                <w:rFonts w:ascii="Arial" w:hAnsi="Arial"/>
                <w:b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B10E2F">
              <w:rPr>
                <w:rFonts w:ascii="Arial" w:hAnsi="Arial"/>
              </w:rPr>
            </w:r>
            <w:r w:rsidR="00B10E2F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:rsidR="00B26FF8" w:rsidRPr="003D4630" w:rsidRDefault="00B26FF8" w:rsidP="003D4630">
            <w:pPr>
              <w:jc w:val="center"/>
              <w:rPr>
                <w:rFonts w:ascii="Arial" w:hAnsi="Arial"/>
                <w:sz w:val="15"/>
                <w:szCs w:val="14"/>
              </w:rPr>
            </w:pPr>
          </w:p>
          <w:p w:rsidR="00B26FF8" w:rsidRPr="003D4630" w:rsidRDefault="00B26FF8" w:rsidP="003D4630">
            <w:pPr>
              <w:jc w:val="center"/>
              <w:rPr>
                <w:rFonts w:ascii="Arial" w:hAnsi="Arial"/>
                <w:sz w:val="15"/>
                <w:szCs w:val="14"/>
              </w:rPr>
            </w:pPr>
          </w:p>
          <w:p w:rsidR="00B26FF8" w:rsidRPr="00B26FF8" w:rsidRDefault="00B26FF8" w:rsidP="003D4630">
            <w:pPr>
              <w:jc w:val="center"/>
              <w:rPr>
                <w:rFonts w:ascii="Arial" w:hAnsi="Arial"/>
                <w:b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B10E2F">
              <w:rPr>
                <w:rFonts w:ascii="Arial" w:hAnsi="Arial"/>
              </w:rPr>
            </w:r>
            <w:r w:rsidR="00B10E2F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</w:tc>
      </w:tr>
      <w:tr w:rsidR="00BE0674" w:rsidRPr="00BD0C71" w:rsidTr="003D4630"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0674" w:rsidRPr="00BD0C71" w:rsidRDefault="00BE0674" w:rsidP="003C3F6A">
            <w:pPr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0674" w:rsidRPr="00BD0C71" w:rsidRDefault="00BE0674" w:rsidP="003D4630">
            <w:pPr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0674" w:rsidRPr="00BD0C71" w:rsidRDefault="00BE0674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0674" w:rsidRPr="00BD0C71" w:rsidRDefault="00BE0674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0674" w:rsidRPr="00BD0C71" w:rsidRDefault="00BE0674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</w:tr>
      <w:tr w:rsidR="003D4630" w:rsidRPr="001E09D6" w:rsidTr="003D4630">
        <w:trPr>
          <w:trHeight w:hRule="exact" w:val="1361"/>
        </w:trPr>
        <w:tc>
          <w:tcPr>
            <w:tcW w:w="4077" w:type="dxa"/>
            <w:tcBorders>
              <w:top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</w:rPr>
              <w:t>Liegen Gefahren vor durch</w:t>
            </w:r>
          </w:p>
          <w:p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b/>
              </w:rPr>
              <w:t>erstickend wirkende Stoffe?</w:t>
            </w:r>
          </w:p>
          <w:p w:rsidR="003D4630" w:rsidRPr="0024616D" w:rsidRDefault="003D4630" w:rsidP="003C3F6A">
            <w:pPr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Beispiele: Stickstoff, Kohlenstoffdioxid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ja</w:t>
            </w:r>
          </w:p>
          <w:p w:rsidR="003D4630" w:rsidRPr="0024616D" w:rsidRDefault="003D4630" w:rsidP="003D4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lang w:eastAsia="ar-SA"/>
              </w:rPr>
              <w:sym w:font="Wingdings" w:char="F0E0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3D4630">
            <w:pPr>
              <w:suppressAutoHyphens/>
              <w:snapToGrid w:val="0"/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zeitliche Begrenzung und Mengenbegrenzung, ausreichend gute Raumlüftung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sz w:val="16"/>
                <w:szCs w:val="16"/>
              </w:rPr>
              <w:t>III – 2.4.5</w:t>
            </w:r>
          </w:p>
          <w:p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b/>
                <w:sz w:val="16"/>
                <w:szCs w:val="16"/>
              </w:rPr>
              <w:t>und</w:t>
            </w:r>
          </w:p>
          <w:p w:rsidR="003D4630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5460E286" wp14:editId="23DF0766">
                  <wp:extent cx="360000" cy="360000"/>
                  <wp:effectExtent l="0" t="0" r="2540" b="254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lüft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Default="003D4630" w:rsidP="003D4630">
            <w:pPr>
              <w:jc w:val="center"/>
              <w:rPr>
                <w:rFonts w:ascii="Arial" w:hAnsi="Arial"/>
              </w:rPr>
            </w:pPr>
          </w:p>
          <w:p w:rsidR="003D4630" w:rsidRDefault="003D4630" w:rsidP="003D4630">
            <w:pPr>
              <w:jc w:val="center"/>
              <w:rPr>
                <w:rFonts w:ascii="Arial" w:hAnsi="Arial"/>
              </w:rPr>
            </w:pPr>
          </w:p>
          <w:p w:rsidR="003D4630" w:rsidRPr="00B26FF8" w:rsidRDefault="003D4630" w:rsidP="003D4630">
            <w:pPr>
              <w:jc w:val="center"/>
              <w:rPr>
                <w:rFonts w:ascii="Arial" w:hAnsi="Arial"/>
                <w:b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B10E2F">
              <w:rPr>
                <w:rFonts w:ascii="Arial" w:hAnsi="Arial"/>
              </w:rPr>
            </w:r>
            <w:r w:rsidR="00B10E2F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</w:tc>
      </w:tr>
      <w:tr w:rsidR="003D4630" w:rsidRPr="00BD0C71" w:rsidTr="003D4630"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C3F6A">
            <w:pPr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D4630">
            <w:pPr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D4630" w:rsidRPr="00BD0C71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D4630" w:rsidRPr="00BD0C71" w:rsidRDefault="003D4630" w:rsidP="003D4630">
            <w:pPr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</w:tr>
      <w:tr w:rsidR="003D4630" w:rsidRPr="001E09D6" w:rsidTr="0085256E">
        <w:trPr>
          <w:trHeight w:val="1644"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</w:rPr>
              <w:t>Liegen Gefahren vor durch</w:t>
            </w:r>
          </w:p>
          <w:p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b/>
              </w:rPr>
              <w:t>tiefkalte Medien?</w:t>
            </w:r>
          </w:p>
          <w:p w:rsidR="003D4630" w:rsidRPr="0024616D" w:rsidRDefault="003D4630" w:rsidP="003C3F6A">
            <w:pPr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Beispiele: flüssiger Stickstoff, Trockeneis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ja</w:t>
            </w:r>
          </w:p>
          <w:p w:rsidR="003D4630" w:rsidRPr="0024616D" w:rsidRDefault="003D4630" w:rsidP="003D4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lang w:eastAsia="ar-SA"/>
              </w:rPr>
              <w:sym w:font="Wingdings" w:char="F0E0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D3049A">
            <w:pPr>
              <w:suppressAutoHyphens/>
              <w:snapToGrid w:val="0"/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technische Hilfsmittel (snow-pack)</w:t>
            </w:r>
            <w:r w:rsidR="00D3049A">
              <w:rPr>
                <w:rFonts w:ascii="Arial" w:hAnsi="Arial" w:cs="Arial"/>
              </w:rPr>
              <w:t>:</w:t>
            </w:r>
            <w:r w:rsidRPr="0024616D">
              <w:rPr>
                <w:rFonts w:ascii="Arial" w:hAnsi="Arial" w:cs="Arial"/>
              </w:rPr>
              <w:t xml:space="preserve"> zeitliche Begrenzung auf 1 Min., Kälteschutzhandschuhe, ausreichend gute Raumlüftung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sz w:val="16"/>
                <w:szCs w:val="16"/>
              </w:rPr>
              <w:t>III – 2.4.5</w:t>
            </w:r>
          </w:p>
          <w:p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b/>
                <w:sz w:val="16"/>
                <w:szCs w:val="16"/>
              </w:rPr>
              <w:t>und</w:t>
            </w:r>
          </w:p>
          <w:p w:rsidR="003D4630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>
                  <wp:extent cx="360000" cy="360000"/>
                  <wp:effectExtent l="0" t="0" r="2540" b="254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Handschuh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630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5460E286" wp14:editId="23DF0766">
                  <wp:extent cx="360000" cy="360000"/>
                  <wp:effectExtent l="0" t="0" r="2540" b="254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lüft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B10E2F">
              <w:rPr>
                <w:rFonts w:ascii="Arial" w:hAnsi="Arial"/>
              </w:rPr>
            </w:r>
            <w:r w:rsidR="00B10E2F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:rsidR="003D4630" w:rsidRPr="00B26FF8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B10E2F">
              <w:rPr>
                <w:rFonts w:ascii="Arial" w:hAnsi="Arial"/>
              </w:rPr>
            </w:r>
            <w:r w:rsidR="00B10E2F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</w:tc>
      </w:tr>
      <w:tr w:rsidR="003D4630" w:rsidRPr="00BD0C71" w:rsidTr="003D4630"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C3F6A">
            <w:pPr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D4630">
            <w:pPr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</w:tr>
      <w:tr w:rsidR="003D4630" w:rsidRPr="001E09D6" w:rsidTr="00371D16">
        <w:trPr>
          <w:trHeight w:hRule="exact" w:val="1798"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</w:rPr>
              <w:t>Liegen Gefahren vor durch</w:t>
            </w:r>
          </w:p>
          <w:p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b/>
              </w:rPr>
              <w:t>heiße Medien?</w:t>
            </w:r>
          </w:p>
          <w:p w:rsidR="003D4630" w:rsidRPr="0024616D" w:rsidRDefault="003D4630" w:rsidP="003C3F6A">
            <w:pPr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Beispiel: Thermit-Verfahren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ja</w:t>
            </w:r>
          </w:p>
          <w:p w:rsidR="003D4630" w:rsidRPr="0024616D" w:rsidRDefault="003D4630" w:rsidP="003D4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lang w:eastAsia="ar-SA"/>
              </w:rPr>
              <w:sym w:font="Wingdings" w:char="F0E0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3D4630">
            <w:pPr>
              <w:suppressAutoHyphens/>
              <w:snapToGrid w:val="0"/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Ausführung der Thermit-Reaktion im Freien, Auffangen des Reaktionsprodukts im Sandbett, ausreichender Schutzabstand für Personen</w:t>
            </w:r>
            <w:r w:rsidR="00371D16">
              <w:rPr>
                <w:rFonts w:ascii="Arial" w:hAnsi="Arial" w:cs="Arial"/>
              </w:rPr>
              <w:t xml:space="preserve"> und brennbare Materialien</w:t>
            </w:r>
            <w:r w:rsidRPr="0024616D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sz w:val="16"/>
                <w:szCs w:val="16"/>
              </w:rPr>
              <w:t>III – 2.4.5</w:t>
            </w:r>
          </w:p>
          <w:p w:rsidR="003D4630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B26FF8">
              <w:rPr>
                <w:rFonts w:ascii="Arial" w:hAnsi="Arial"/>
                <w:b/>
                <w:sz w:val="16"/>
                <w:szCs w:val="16"/>
              </w:rPr>
              <w:t>und</w:t>
            </w:r>
          </w:p>
          <w:p w:rsidR="003D4630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>
                  <wp:extent cx="360000" cy="360000"/>
                  <wp:effectExtent l="0" t="0" r="2540" b="254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Schutzbril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B10E2F">
              <w:rPr>
                <w:rFonts w:ascii="Arial" w:hAnsi="Arial"/>
              </w:rPr>
            </w:r>
            <w:r w:rsidR="00B10E2F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</w:tc>
      </w:tr>
      <w:tr w:rsidR="003D4630" w:rsidRPr="00BD0C71" w:rsidTr="003D4630"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C3F6A">
            <w:pPr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D4630">
            <w:pPr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4630" w:rsidRPr="00BD0C71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</w:tr>
      <w:tr w:rsidR="003D4630" w:rsidRPr="001E09D6" w:rsidTr="003D4630">
        <w:tc>
          <w:tcPr>
            <w:tcW w:w="40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Default="003D4630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</w:rPr>
            </w:pPr>
            <w:r w:rsidRPr="003C3F6A">
              <w:rPr>
                <w:rFonts w:ascii="Arial" w:hAnsi="Arial" w:cs="Arial"/>
              </w:rPr>
              <w:t>Liegen</w:t>
            </w:r>
            <w:r w:rsidR="002C64EB">
              <w:rPr>
                <w:rFonts w:ascii="Arial" w:hAnsi="Arial" w:cs="Arial"/>
                <w:b/>
              </w:rPr>
              <w:t xml:space="preserve"> weitere </w:t>
            </w:r>
            <w:r w:rsidRPr="0024616D">
              <w:rPr>
                <w:rFonts w:ascii="Arial" w:hAnsi="Arial" w:cs="Arial"/>
                <w:b/>
              </w:rPr>
              <w:t xml:space="preserve">Gefahren </w:t>
            </w:r>
            <w:r w:rsidRPr="003C3F6A">
              <w:rPr>
                <w:rFonts w:ascii="Arial" w:hAnsi="Arial" w:cs="Arial"/>
              </w:rPr>
              <w:t>vor</w:t>
            </w:r>
            <w:r w:rsidR="003C3F6A">
              <w:rPr>
                <w:rFonts w:ascii="Arial" w:hAnsi="Arial" w:cs="Arial"/>
              </w:rPr>
              <w:t>?</w:t>
            </w:r>
          </w:p>
          <w:p w:rsidR="003C3F6A" w:rsidRPr="0024616D" w:rsidRDefault="003C3F6A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zum Beispiel durch stoffliche Eigenschaften oder Tätigkeiten:</w:t>
            </w:r>
          </w:p>
          <w:p w:rsidR="003D4630" w:rsidRPr="0024616D" w:rsidRDefault="0097419E" w:rsidP="003C3F6A">
            <w:pPr>
              <w:tabs>
                <w:tab w:val="left" w:pos="142"/>
              </w:tabs>
              <w:ind w:left="142" w:hanging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r w:rsidR="003D4630" w:rsidRPr="0024616D">
              <w:rPr>
                <w:rFonts w:ascii="Arial" w:hAnsi="Arial" w:cs="Arial"/>
              </w:rPr>
              <w:t>erhöhter Druck: Flüssigkeiten, Gase,   Dämpfe</w:t>
            </w:r>
          </w:p>
          <w:p w:rsidR="003D4630" w:rsidRPr="0024616D" w:rsidRDefault="003D4630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-</w:t>
            </w:r>
            <w:r w:rsidR="0097419E">
              <w:rPr>
                <w:rFonts w:ascii="Arial" w:hAnsi="Arial" w:cs="Arial"/>
              </w:rPr>
              <w:tab/>
            </w:r>
            <w:r w:rsidRPr="0024616D">
              <w:rPr>
                <w:rFonts w:ascii="Arial" w:hAnsi="Arial" w:cs="Arial"/>
              </w:rPr>
              <w:t>Vakuum</w:t>
            </w:r>
          </w:p>
          <w:p w:rsidR="003D4630" w:rsidRPr="0024616D" w:rsidRDefault="0097419E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r w:rsidR="003D4630" w:rsidRPr="0024616D">
              <w:rPr>
                <w:rFonts w:ascii="Arial" w:hAnsi="Arial" w:cs="Arial"/>
              </w:rPr>
              <w:t>chronisch schädigend: Feinstäube</w:t>
            </w:r>
          </w:p>
          <w:p w:rsidR="003D4630" w:rsidRDefault="0097419E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r w:rsidR="003D4630" w:rsidRPr="0024616D">
              <w:rPr>
                <w:rFonts w:ascii="Arial" w:hAnsi="Arial" w:cs="Arial"/>
              </w:rPr>
              <w:t>explosionsfähig: brennbare Stäube</w:t>
            </w:r>
          </w:p>
          <w:p w:rsidR="003C3F6A" w:rsidRPr="0024616D" w:rsidRDefault="002C64EB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S</w:t>
            </w:r>
            <w:r w:rsidR="003C3F6A">
              <w:rPr>
                <w:rFonts w:ascii="Arial" w:hAnsi="Arial" w:cs="Arial"/>
              </w:rPr>
              <w:t>chneiden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ja</w:t>
            </w:r>
          </w:p>
          <w:p w:rsidR="003D4630" w:rsidRPr="0024616D" w:rsidRDefault="003D4630" w:rsidP="003D4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lang w:eastAsia="ar-SA"/>
              </w:rPr>
              <w:sym w:font="Wingdings" w:char="F0E0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Pr="0024616D" w:rsidRDefault="003D4630" w:rsidP="003D4630">
            <w:pPr>
              <w:suppressAutoHyphens/>
              <w:snapToGrid w:val="0"/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Geeignete Schutzmaßnahmen gegen mögliche Gefahren ergreifen und dokumentieren.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sz w:val="16"/>
                <w:szCs w:val="16"/>
              </w:rPr>
              <w:t>III – 2.4.5</w:t>
            </w:r>
          </w:p>
          <w:p w:rsidR="003D4630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B26FF8">
              <w:rPr>
                <w:rFonts w:ascii="Arial" w:hAnsi="Arial"/>
                <w:b/>
                <w:sz w:val="16"/>
                <w:szCs w:val="16"/>
              </w:rPr>
              <w:t>und</w:t>
            </w:r>
          </w:p>
          <w:p w:rsidR="003D4630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069E2C2A" wp14:editId="7D10F470">
                  <wp:extent cx="360000" cy="360000"/>
                  <wp:effectExtent l="0" t="0" r="2540" b="254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Schutzbril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630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5F141780" wp14:editId="20D66F2E">
                  <wp:extent cx="360000" cy="360000"/>
                  <wp:effectExtent l="0" t="0" r="2540" b="254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Handschuh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630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>
                  <wp:extent cx="360000" cy="360000"/>
                  <wp:effectExtent l="0" t="0" r="2540" b="254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Abz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630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787DE403" wp14:editId="10A1504A">
                  <wp:extent cx="360000" cy="360000"/>
                  <wp:effectExtent l="0" t="0" r="2540" b="254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lüft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630" w:rsidRPr="00B26FF8" w:rsidRDefault="003D4630" w:rsidP="003D4630">
            <w:pPr>
              <w:suppressAutoHyphens/>
              <w:snapToGrid w:val="0"/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Schutzs</w:t>
            </w:r>
            <w:r w:rsidR="00E76B98">
              <w:rPr>
                <w:rFonts w:ascii="Arial" w:hAnsi="Arial"/>
                <w:sz w:val="16"/>
                <w:szCs w:val="16"/>
              </w:rPr>
              <w:t>c</w:t>
            </w:r>
            <w:r>
              <w:rPr>
                <w:rFonts w:ascii="Arial" w:hAnsi="Arial"/>
                <w:sz w:val="16"/>
                <w:szCs w:val="16"/>
              </w:rPr>
              <w:t>heibe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B10E2F">
              <w:rPr>
                <w:rFonts w:ascii="Arial" w:hAnsi="Arial"/>
              </w:rPr>
            </w:r>
            <w:r w:rsidR="00B10E2F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:rsidR="003D4630" w:rsidRPr="00C63ACD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B10E2F">
              <w:rPr>
                <w:rFonts w:ascii="Arial" w:hAnsi="Arial"/>
              </w:rPr>
            </w:r>
            <w:r w:rsidR="00B10E2F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:rsidR="003D4630" w:rsidRPr="00C63ACD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B10E2F">
              <w:rPr>
                <w:rFonts w:ascii="Arial" w:hAnsi="Arial"/>
              </w:rPr>
            </w:r>
            <w:r w:rsidR="00B10E2F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B10E2F">
              <w:rPr>
                <w:rFonts w:ascii="Arial" w:hAnsi="Arial"/>
              </w:rPr>
            </w:r>
            <w:r w:rsidR="00B10E2F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:rsidR="003D4630" w:rsidRPr="0085256E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3"/>
                <w:szCs w:val="13"/>
              </w:rPr>
            </w:pPr>
          </w:p>
          <w:p w:rsidR="003D4630" w:rsidRPr="0085256E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3"/>
                <w:szCs w:val="13"/>
              </w:rPr>
            </w:pPr>
          </w:p>
          <w:p w:rsidR="003D4630" w:rsidRPr="00B26FF8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B10E2F">
              <w:rPr>
                <w:rFonts w:ascii="Arial" w:hAnsi="Arial"/>
              </w:rPr>
            </w:r>
            <w:r w:rsidR="00B10E2F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</w:tc>
      </w:tr>
    </w:tbl>
    <w:p w:rsidR="00992C11" w:rsidRDefault="00992C11"/>
    <w:sectPr w:rsidR="00992C11" w:rsidSect="00BD0C71">
      <w:headerReference w:type="default" r:id="rId11"/>
      <w:pgSz w:w="11906" w:h="16838"/>
      <w:pgMar w:top="907" w:right="1077" w:bottom="340" w:left="1077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A8" w:rsidRDefault="003657A8" w:rsidP="007401A0">
      <w:r>
        <w:separator/>
      </w:r>
    </w:p>
  </w:endnote>
  <w:endnote w:type="continuationSeparator" w:id="0">
    <w:p w:rsidR="003657A8" w:rsidRDefault="003657A8" w:rsidP="0074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A8" w:rsidRDefault="003657A8" w:rsidP="007401A0">
      <w:r>
        <w:separator/>
      </w:r>
    </w:p>
  </w:footnote>
  <w:footnote w:type="continuationSeparator" w:id="0">
    <w:p w:rsidR="003657A8" w:rsidRDefault="003657A8" w:rsidP="0074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30" w:rsidRPr="003D4630" w:rsidRDefault="003D4630" w:rsidP="003D4630">
    <w:pPr>
      <w:pStyle w:val="Kopfzeile"/>
      <w:jc w:val="right"/>
      <w:rPr>
        <w:rFonts w:ascii="Arial" w:hAnsi="Arial"/>
        <w:i/>
        <w:noProof w:val="0"/>
        <w:sz w:val="18"/>
        <w:szCs w:val="24"/>
      </w:rPr>
    </w:pPr>
    <w:r w:rsidRPr="003D4630">
      <w:rPr>
        <w:rFonts w:ascii="Arial" w:hAnsi="Arial"/>
        <w:i/>
        <w:noProof w:val="0"/>
        <w:sz w:val="18"/>
        <w:szCs w:val="24"/>
      </w:rPr>
      <w:t xml:space="preserve">Seite </w:t>
    </w:r>
    <w:sdt>
      <w:sdtPr>
        <w:rPr>
          <w:rFonts w:ascii="Arial" w:hAnsi="Arial"/>
          <w:i/>
          <w:noProof w:val="0"/>
          <w:sz w:val="18"/>
          <w:szCs w:val="24"/>
        </w:rPr>
        <w:id w:val="-2102392945"/>
        <w:docPartObj>
          <w:docPartGallery w:val="Page Numbers (Top of Page)"/>
          <w:docPartUnique/>
        </w:docPartObj>
      </w:sdtPr>
      <w:sdtEndPr/>
      <w:sdtContent>
        <w:r w:rsidRPr="003D4630">
          <w:rPr>
            <w:rFonts w:ascii="Arial" w:hAnsi="Arial"/>
            <w:i/>
            <w:noProof w:val="0"/>
            <w:sz w:val="18"/>
            <w:szCs w:val="24"/>
          </w:rPr>
          <w:fldChar w:fldCharType="begin"/>
        </w:r>
        <w:r w:rsidRPr="003D4630">
          <w:rPr>
            <w:rFonts w:ascii="Arial" w:hAnsi="Arial"/>
            <w:i/>
            <w:noProof w:val="0"/>
            <w:sz w:val="18"/>
            <w:szCs w:val="24"/>
          </w:rPr>
          <w:instrText>PAGE   \* MERGEFORMAT</w:instrText>
        </w:r>
        <w:r w:rsidRPr="003D4630">
          <w:rPr>
            <w:rFonts w:ascii="Arial" w:hAnsi="Arial"/>
            <w:i/>
            <w:noProof w:val="0"/>
            <w:sz w:val="18"/>
            <w:szCs w:val="24"/>
          </w:rPr>
          <w:fldChar w:fldCharType="separate"/>
        </w:r>
        <w:r w:rsidR="00B10E2F">
          <w:rPr>
            <w:rFonts w:ascii="Arial" w:hAnsi="Arial"/>
            <w:i/>
            <w:sz w:val="18"/>
            <w:szCs w:val="24"/>
          </w:rPr>
          <w:t>5</w:t>
        </w:r>
        <w:r w:rsidRPr="003D4630">
          <w:rPr>
            <w:rFonts w:ascii="Arial" w:hAnsi="Arial"/>
            <w:i/>
            <w:noProof w:val="0"/>
            <w:sz w:val="18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A0"/>
    <w:rsid w:val="000144CF"/>
    <w:rsid w:val="00062836"/>
    <w:rsid w:val="000D12BE"/>
    <w:rsid w:val="000D685B"/>
    <w:rsid w:val="000E075C"/>
    <w:rsid w:val="001B211E"/>
    <w:rsid w:val="001B392E"/>
    <w:rsid w:val="00207BAE"/>
    <w:rsid w:val="0024616D"/>
    <w:rsid w:val="00272A62"/>
    <w:rsid w:val="002C64EB"/>
    <w:rsid w:val="002E440A"/>
    <w:rsid w:val="00303FDA"/>
    <w:rsid w:val="003657A8"/>
    <w:rsid w:val="00371D16"/>
    <w:rsid w:val="003A341A"/>
    <w:rsid w:val="003C3F6A"/>
    <w:rsid w:val="003D1774"/>
    <w:rsid w:val="003D4630"/>
    <w:rsid w:val="00517EBE"/>
    <w:rsid w:val="00523BE2"/>
    <w:rsid w:val="006151A6"/>
    <w:rsid w:val="00666384"/>
    <w:rsid w:val="006C2314"/>
    <w:rsid w:val="007401A0"/>
    <w:rsid w:val="007F1B04"/>
    <w:rsid w:val="0085256E"/>
    <w:rsid w:val="0097419E"/>
    <w:rsid w:val="00974291"/>
    <w:rsid w:val="00992C11"/>
    <w:rsid w:val="009B14D6"/>
    <w:rsid w:val="00A0791F"/>
    <w:rsid w:val="00A20D35"/>
    <w:rsid w:val="00A70AD9"/>
    <w:rsid w:val="00AD2792"/>
    <w:rsid w:val="00AF2081"/>
    <w:rsid w:val="00B10E2F"/>
    <w:rsid w:val="00B26FF8"/>
    <w:rsid w:val="00B93F0D"/>
    <w:rsid w:val="00BA1878"/>
    <w:rsid w:val="00BD0C71"/>
    <w:rsid w:val="00BE0674"/>
    <w:rsid w:val="00BF30CC"/>
    <w:rsid w:val="00C1305D"/>
    <w:rsid w:val="00C1728E"/>
    <w:rsid w:val="00C2760C"/>
    <w:rsid w:val="00C363B1"/>
    <w:rsid w:val="00C63ACD"/>
    <w:rsid w:val="00D2717F"/>
    <w:rsid w:val="00D3049A"/>
    <w:rsid w:val="00DE10F4"/>
    <w:rsid w:val="00E2195D"/>
    <w:rsid w:val="00E3472E"/>
    <w:rsid w:val="00E76B98"/>
    <w:rsid w:val="00EE4C98"/>
    <w:rsid w:val="00F248D2"/>
    <w:rsid w:val="00F80A04"/>
    <w:rsid w:val="00F903AF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1A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23BE2"/>
    <w:pPr>
      <w:keepNext/>
      <w:keepLines/>
      <w:shd w:val="clear" w:color="auto" w:fill="BFBFBF" w:themeFill="background1" w:themeFillShade="BF"/>
      <w:tabs>
        <w:tab w:val="left" w:pos="340"/>
      </w:tabs>
      <w:spacing w:after="40"/>
      <w:jc w:val="left"/>
      <w:outlineLvl w:val="0"/>
    </w:pPr>
    <w:rPr>
      <w:rFonts w:ascii="Arial" w:eastAsiaTheme="majorEastAsia" w:hAnsi="Arial" w:cstheme="majorBidi"/>
      <w:b/>
      <w:bCs/>
      <w:noProof w:val="0"/>
      <w:color w:val="000000" w:themeColor="text1"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1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01A0"/>
    <w:rPr>
      <w:rFonts w:ascii="Tahoma" w:eastAsia="Times New Roman" w:hAnsi="Tahoma" w:cs="Tahoma"/>
      <w:noProof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401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01A0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401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1A0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523BE2"/>
    <w:rPr>
      <w:rFonts w:ascii="Arial" w:eastAsiaTheme="majorEastAsia" w:hAnsi="Arial" w:cstheme="majorBidi"/>
      <w:b/>
      <w:bCs/>
      <w:color w:val="000000" w:themeColor="text1"/>
      <w:sz w:val="24"/>
      <w:szCs w:val="28"/>
      <w:shd w:val="clear" w:color="auto" w:fill="BFBFBF" w:themeFill="background1" w:themeFillShade="BF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1A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23BE2"/>
    <w:pPr>
      <w:keepNext/>
      <w:keepLines/>
      <w:shd w:val="clear" w:color="auto" w:fill="BFBFBF" w:themeFill="background1" w:themeFillShade="BF"/>
      <w:tabs>
        <w:tab w:val="left" w:pos="340"/>
      </w:tabs>
      <w:spacing w:after="40"/>
      <w:jc w:val="left"/>
      <w:outlineLvl w:val="0"/>
    </w:pPr>
    <w:rPr>
      <w:rFonts w:ascii="Arial" w:eastAsiaTheme="majorEastAsia" w:hAnsi="Arial" w:cstheme="majorBidi"/>
      <w:b/>
      <w:bCs/>
      <w:noProof w:val="0"/>
      <w:color w:val="000000" w:themeColor="text1"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1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01A0"/>
    <w:rPr>
      <w:rFonts w:ascii="Tahoma" w:eastAsia="Times New Roman" w:hAnsi="Tahoma" w:cs="Tahoma"/>
      <w:noProof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401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01A0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401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1A0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523BE2"/>
    <w:rPr>
      <w:rFonts w:ascii="Arial" w:eastAsiaTheme="majorEastAsia" w:hAnsi="Arial" w:cstheme="majorBidi"/>
      <w:b/>
      <w:bCs/>
      <w:color w:val="000000" w:themeColor="text1"/>
      <w:sz w:val="24"/>
      <w:szCs w:val="28"/>
      <w:shd w:val="clear" w:color="auto" w:fill="BFBFBF" w:themeFill="background1" w:themeFill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5A2F26D8.dotm</Template>
  <TotalTime>0</TotalTime>
  <Pages>1</Pages>
  <Words>206</Words>
  <Characters>1400</Characters>
  <Application>Microsoft Office Word</Application>
  <DocSecurity>0</DocSecurity>
  <Lines>175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Gefahrstoffverordnung</vt:lpstr>
    </vt:vector>
  </TitlesOfParts>
  <Company>MSB NRW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nach Gefahrstoffverordnung</dc:title>
  <dc:subject>Anlage: Sonstige Gefahren</dc:subject>
  <dc:creator>Piechocki</dc:creator>
  <cp:lastModifiedBy>Berger, Kay</cp:lastModifiedBy>
  <cp:revision>22</cp:revision>
  <cp:lastPrinted>2017-06-12T06:03:00Z</cp:lastPrinted>
  <dcterms:created xsi:type="dcterms:W3CDTF">2016-04-27T11:20:00Z</dcterms:created>
  <dcterms:modified xsi:type="dcterms:W3CDTF">2017-07-31T06:06:00Z</dcterms:modified>
</cp:coreProperties>
</file>